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Consultancy agreement</w:t>
      </w:r>
      <w:bookmarkEnd w:id="0"/>
    </w:p>
    <w:p>
      <w:pPr>
        <w:pStyle w:val="Meta"/>
      </w:pPr>
      <w:r>
        <w:rPr>
          <w:rStyle w:val="MetaFont"/>
        </w:rPr>
        <w:t xml:space="preserve">Contract for services with a self-employed independent contractor</w:t>
      </w:r>
    </w:p>
    <w:p>
      <w:pPr/>
      <w:r>
        <w:rPr/>
        <w:t xml:space="preserve">This agreement is made on </w:t>
      </w:r>
      <w:r>
        <w:rPr>
          <w:b w:val="1"/>
          <w:bCs w:val="1"/>
        </w:rPr>
        <w:t xml:space="preserve">${_Document_date:today:date_}</w:t>
      </w:r>
      <w:r>
        <w:rPr/>
        <w:t xml:space="preserve"> between:</w:t>
      </w:r>
    </w:p>
    <w:p>
      <w:pPr/>
      <w:r>
        <w:rPr>
          <w:b w:val="1"/>
          <w:bCs w:val="1"/>
        </w:rPr>
        <w:t xml:space="preserve">${_Company_name:company_name:text_}</w:t>
      </w:r>
      <w:r>
        <w:rPr/>
        <w:t xml:space="preserve">, a company registered in the United Kingdom under company number ${_Company_number:company_registration_number:text_}, whose registered office is at ${_Company_address:company_address:text_} (the "Client"),</w:t>
      </w:r>
    </w:p>
    <w:p>
      <w:pPr/>
      <w:r>
        <w:rPr/>
        <w:t xml:space="preserve">and</w:t>
      </w:r>
    </w:p>
    <w:p>
      <w:pPr/>
      <w:r>
        <w:rPr>
          <w:b w:val="1"/>
          <w:bCs w:val="1"/>
        </w:rPr>
        <w:t xml:space="preserve">${_Consultant's_full_name:employee_name:text_}</w:t>
      </w:r>
      <w:r>
        <w:rPr/>
        <w:t xml:space="preserve"> of ${_Consultant's_address_}, trading as ${_Consultant's_business_name_}, Unique Taxpayer Reference or company number ${_Consultant's_UTR_or_company_number_} (the "Consultant").</w:t>
      </w:r>
    </w:p>
    <w:p>
      <w:pPr>
        <w:pStyle w:val="Heading2"/>
      </w:pPr>
      <w:bookmarkStart w:id="1" w:name="_Toc1"/>
      <w:r>
        <w:t>1. The Services</w:t>
      </w:r>
      <w:bookmarkEnd w:id="1"/>
    </w:p>
    <w:p>
      <w:pPr/>
      <w:r>
        <w:rPr/>
        <w:t xml:space="preserve">1.1. The Consultant will provide the following services to the Client (the "Services"): ${_Services_to_be_provided::textarea_}</w:t>
      </w:r>
    </w:p>
    <w:p>
      <w:pPr/>
      <w:r>
        <w:rPr/>
        <w:t xml:space="preserve">1.2. The Consultant will provide the Services with reasonable skill and care, in accordance with good industry practice, and will meet the deadlines and quality standards reasonably agreed with the Client for each deliverable.</w:t>
      </w:r>
    </w:p>
    <w:p>
      <w:pPr/>
      <w:r>
        <w:rPr/>
        <w:t xml:space="preserve">1.3. The Consultant decides how, when and where the Services are performed, using their own equipment, and is not subject to the Client's supervision, direction or control as to the manner of performance. The Consultant is not required to work set hours or at the Client's premises except where the nature of a particular task, or security or health and safety requirements, make it necessary, and will comply with the Client's reasonable site rules when there.</w:t>
      </w:r>
    </w:p>
    <w:p>
      <w:pPr/>
      <w:r>
        <w:rPr/>
        <w:t xml:space="preserve">1.4. The Consultant may provide the Services through a suitably qualified and experienced substitute or subcontractor, giving the Client reasonable prior notice; the Client may object only on reasonable grounds such as lack of skill, security or confidentiality. The Consultant remains responsible for the substitute's work and for paying them.</w:t>
      </w:r>
    </w:p>
    <w:p>
      <w:pPr/>
      <w:r>
        <w:rPr/>
        <w:t xml:space="preserve">1.5. The Client is not obliged to offer, and the Consultant is not obliged to accept, any work beyond the Services. The Consultant is free to provide services to other clients during the term, provided this does not create a conflict of interest with the Services or breach clause 5.</w:t>
      </w:r>
    </w:p>
    <w:p>
      <w:pPr>
        <w:pStyle w:val="Heading2"/>
      </w:pPr>
      <w:bookmarkStart w:id="2" w:name="_Toc2"/>
      <w:r>
        <w:t>2. Term</w:t>
      </w:r>
      <w:bookmarkEnd w:id="2"/>
    </w:p>
    <w:p>
      <w:pPr/>
      <w:r>
        <w:rPr/>
        <w:t xml:space="preserve">2.1. This agreement starts on </w:t>
      </w:r>
      <w:r>
        <w:rPr>
          <w:b w:val="1"/>
          <w:bCs w:val="1"/>
        </w:rPr>
        <w:t xml:space="preserve">${_Start_date::date_}</w:t>
      </w:r>
      <w:r>
        <w:rPr/>
        <w:t xml:space="preserve"> and continues until </w:t>
      </w:r>
      <w:r>
        <w:rPr>
          <w:b w:val="1"/>
          <w:bCs w:val="1"/>
        </w:rPr>
        <w:t xml:space="preserve">${_End_date::date_}</w:t>
      </w:r>
      <w:r>
        <w:rPr/>
        <w:t xml:space="preserve"> or, if earlier, the completion of the Services, unless ended earlier under clause 7.</w:t>
      </w:r>
    </w:p>
    <w:p>
      <w:pPr>
        <w:pStyle w:val="Heading2"/>
      </w:pPr>
      <w:bookmarkStart w:id="3" w:name="_Toc3"/>
      <w:r>
        <w:t>3. Fees, invoicing and expenses</w:t>
      </w:r>
      <w:bookmarkEnd w:id="3"/>
    </w:p>
    <w:p>
      <w:pPr/>
      <w:r>
        <w:rPr/>
        <w:t xml:space="preserve">3.1. The Client will pay the Consultant a fee of </w:t>
      </w:r>
      <w:r>
        <w:rPr>
          <w:b w:val="1"/>
          <w:bCs w:val="1"/>
        </w:rPr>
        <w:t xml:space="preserve">${_Rate_/_fee_} ${_Currency:currency:text_}</w:t>
      </w:r>
      <w:r>
        <w:rPr/>
        <w:t xml:space="preserve"> ${_Fee_basis::dropdown('per day', 'per hour', 'as a fixed fee for the Services')_}, plus VAT where the Consultant is VAT-registered.</w:t>
      </w:r>
    </w:p>
    <w:p>
      <w:pPr/>
      <w:r>
        <w:rPr/>
        <w:t xml:space="preserve">3.2. The Consultant will invoice the Client ${_Invoicing_interval::dropdown('monthly', 'weekly', 'on completion of the Services')_}, with a record of the Services performed. The Client will pay each undisputed invoice within </w:t>
      </w:r>
      <w:r>
        <w:rPr>
          <w:b w:val="1"/>
          <w:bCs w:val="1"/>
        </w:rPr>
        <w:t xml:space="preserve">${_Payment_terms::dropdown('30 days', '14 days', '7 days')_}</w:t>
      </w:r>
      <w:r>
        <w:rPr/>
        <w:t xml:space="preserve"> of receipt by bank transfer. Late payment bears interest under the Late Payment of Commercial Debts (Interest) Act 1998.</w:t>
      </w:r>
    </w:p>
    <w:p>
      <w:pPr/>
      <w:r>
        <w:rPr/>
        <w:t xml:space="preserve">3.3. The fee is the Consultant's only payment. The Consultant bears their own expenses unless the Client has agreed in writing in advance to reimburse them, and bears the cost of correcting defective work at their own expense and in their own time.</w:t>
      </w:r>
    </w:p>
    <w:p>
      <w:pPr>
        <w:pStyle w:val="Heading2"/>
      </w:pPr>
      <w:bookmarkStart w:id="4" w:name="_Toc4"/>
      <w:r>
        <w:t>4. Status, tax and insurance</w:t>
      </w:r>
      <w:bookmarkEnd w:id="4"/>
    </w:p>
    <w:p>
      <w:pPr/>
      <w:r>
        <w:rPr/>
        <w:t xml:space="preserve">4.1. The Consultant is an independent contractor in business on their own account. The parties intend that the relationship is a contract for services and not a contract of employment or a worker relationship: the Consultant is not under the Client's control as to how the work is done (clause 1.3), need not perform the Services personally (clause 1.4) and there is no mutuality of obligation beyond the Services (clause 1.5). Nothing in this agreement creates an employment, partnership, joint venture or agency relationship, and the Consultant is not entitled to holiday pay, sick pay, pension contributions, notice as an employee or any other employee benefit.</w:t>
      </w:r>
    </w:p>
    <w:p>
      <w:pPr/>
      <w:r>
        <w:rPr/>
        <w:t xml:space="preserve">4.2. The Consultant is responsible for their own income tax, National Insurance contributions and VAT on the fees, and will indemnify the Client against any tax, National Insurance, interest or penalty assessed on the Client in respect of the fees, except to the extent the law requires the Client to deduct them at source. Where the Consultant provides the Services through their own company or other intermediary and the off-payroll working rules in Chapter 10 of Part 2 of the Income Tax (Earnings and Pensions) Act 2003 apply to the Client, the Client will issue a status determination statement and the parties will cooperate in good faith on its consequences.</w:t>
      </w:r>
    </w:p>
    <w:p>
      <w:pPr/>
      <w:r>
        <w:rPr/>
        <w:t xml:space="preserve">4.3. The Consultant will maintain, for the term of this agreement, professional indemnity and public liability insurance adequate for the Services and will provide evidence of it on request.</w:t>
      </w:r>
    </w:p>
    <w:p>
      <w:pPr>
        <w:pStyle w:val="Heading2"/>
      </w:pPr>
      <w:bookmarkStart w:id="5" w:name="_Toc5"/>
      <w:r>
        <w:t>5. Confidentiality and data protection</w:t>
      </w:r>
      <w:bookmarkEnd w:id="5"/>
    </w:p>
    <w:p>
      <w:pPr/>
      <w:r>
        <w:rPr/>
        <w:t xml:space="preserve">5.1. The Consultant will keep confidential all information about the Client's business, clients, suppliers, products and affairs obtained in connection with the Services, during and after the term, will use it only to perform the Services, and will return or destroy it on request, except as required by law.</w:t>
      </w:r>
    </w:p>
    <w:p>
      <w:pPr/>
      <w:r>
        <w:rPr/>
        <w:t xml:space="preserve">5.2. Each party will comply with the UK GDPR and the Data Protection Act 2018 in relation to any personal data processed under this agreement. Where the Consultant processes personal data on the Client's behalf, they will do so only on the Client's documented instructions, keep it secure and confidential, and assist the Client in meeting its obligations; the parties will enter into any further written terms that Article 28 of the UK GDPR requires.</w:t>
      </w:r>
    </w:p>
    <w:p>
      <w:pPr>
        <w:pStyle w:val="Heading2"/>
      </w:pPr>
      <w:bookmarkStart w:id="6" w:name="_Toc6"/>
      <w:r>
        <w:t>6. Intellectual property</w:t>
      </w:r>
      <w:bookmarkEnd w:id="6"/>
    </w:p>
    <w:p>
      <w:pPr/>
      <w:r>
        <w:rPr/>
        <w:t xml:space="preserve">6.1. The Consultant assigns to the Client, with full title guarantee and by way of present assignment of future rights, all intellectual property rights in the work and deliverables created in the course of the Services, with effect from their creation. The Consultant waives all moral rights in them, warrants that they will not infringe any third party's rights, and will sign any document reasonably needed to perfect the assignment. The Consultant keeps their pre-existing know-how, tools and materials, and grants the Client a non-exclusive, perpetual licence to use any that are embedded in the deliverables.</w:t>
      </w:r>
    </w:p>
    <w:p>
      <w:pPr>
        <w:pStyle w:val="Heading2"/>
      </w:pPr>
      <w:bookmarkStart w:id="7" w:name="_Toc7"/>
      <w:r>
        <w:t>7. Termination</w:t>
      </w:r>
      <w:bookmarkEnd w:id="7"/>
    </w:p>
    <w:p>
      <w:pPr/>
      <w:r>
        <w:rPr/>
        <w:t xml:space="preserve">7.1. Either party may end this agreement at any time on </w:t>
      </w:r>
      <w:r>
        <w:rPr>
          <w:b w:val="1"/>
          <w:bCs w:val="1"/>
        </w:rPr>
        <w:t xml:space="preserve">${_Notice_period::dropdown('1 month', '2 weeks', '3 months')_}</w:t>
      </w:r>
      <w:r>
        <w:rPr/>
        <w:t xml:space="preserve"> written notice.</w:t>
      </w:r>
    </w:p>
    <w:p>
      <w:pPr/>
      <w:r>
        <w:rPr/>
        <w:t xml:space="preserve">7.2. Either party may end this agreement immediately by written notice if the other commits a material breach that is not remedied within 14 days of being asked to in writing, becomes insolvent or ceases to trade, or (in the Consultant's case) is unable to provide the Services, personally or through a substitute, for more than four consecutive weeks.</w:t>
      </w:r>
    </w:p>
    <w:p>
      <w:pPr/>
      <w:r>
        <w:rPr/>
        <w:t xml:space="preserve">7.3. On termination the Consultant will deliver to the Client all Client property, materials, data and deliverables (whether or not complete), and the Client will pay for Services properly performed up to the date of termination. Clauses 4, 5, 6, 8 and 9 survive termination.</w:t>
      </w:r>
    </w:p>
    <w:p>
      <w:pPr>
        <w:pStyle w:val="Heading2"/>
      </w:pPr>
      <w:bookmarkStart w:id="8" w:name="_Toc8"/>
      <w:r>
        <w:t>8. Liability</w:t>
      </w:r>
      <w:bookmarkEnd w:id="8"/>
    </w:p>
    <w:p>
      <w:pPr/>
      <w:r>
        <w:rPr/>
        <w:t xml:space="preserve">8.1. Neither party excludes or limits liability for death or personal injury caused by negligence, for fraud, or for any other liability that cannot lawfully be limited. Subject to that, neither party is liable to the other for loss of profit, business or goodwill or for any indirect or consequential loss, and the Consultant's total liability under or in connection with this agreement is limited to the total fees paid or payable in the twelve months before the event giving rise to the claim. The indemnity in clause 4.2 is not subject to this limit.</w:t>
      </w:r>
    </w:p>
    <w:p>
      <w:pPr>
        <w:pStyle w:val="Heading2"/>
      </w:pPr>
      <w:bookmarkStart w:id="9" w:name="_Toc9"/>
      <w:r>
        <w:t>9. General</w:t>
      </w:r>
      <w:bookmarkEnd w:id="9"/>
    </w:p>
    <w:p>
      <w:pPr/>
      <w:r>
        <w:rPr/>
        <w:t xml:space="preserve">9.1. This agreement is the entire agreement between the parties about the Services and replaces any previous arrangement between them. It may be varied only in writing signed by both parties. Neither party may assign it without the other's written consent. No third party has any right under the Contracts (Rights of Third Parties) Act 1999 to enforce any of its terms.</w:t>
      </w:r>
    </w:p>
    <w:p>
      <w:pPr>
        <w:keepNext w:val="1"/>
      </w:pPr>
      <w:r>
        <w:rPr/>
        <w:t xml:space="preserve">9.2. This agreement is governed by the law of England and Wales, and the courts of England and Wales have exclusive jurisdiction over any dispute arising out of or in connection with it. It is signed in two copies, one for each party.</w:t>
      </w:r>
    </w:p>
    <w:p>
      <w:pPr>
        <w:keepNext w:val="1"/>
      </w:pPr>
      <w:pPr/>
    </w:p>
    <w:p>
      <w:pPr>
        <w:keepNext w:val="1"/>
      </w:pPr>
      <w:pPr/>
    </w:p>
    <w:tbl>
      <w:tblGrid>
        <w:gridCol w:w="4500" w:type="dxa"/>
        <w:gridCol w:w="4500" w:type="dxa"/>
      </w:tblGrid>
      <w:tblPr>
        <w:tblW w:w="5000" w:type="pct"/>
        <w:tblLayout w:type="autofit"/>
        <w:tblCellMar>
          <w:top w:w="120" w:type="dxa"/>
          <w:left w:w="120" w:type="dxa"/>
          <w:right w:w="120" w:type="dxa"/>
          <w:bottom w:w="120" w:type="dxa"/>
        </w:tblCellMar>
      </w:tblPr>
      <w:tr>
        <w:trPr>
          <w:cantSplit w:val="1"/>
        </w:trPr>
        <w:tc>
          <w:tcPr>
            <w:tcW w:w="4500" w:type="dxa"/>
            <w:vAlign w:val="bottom"/>
            <w:noWrap/>
          </w:tcPr>
          <w:p>
            <w:pPr>
              <w:jc w:val="start"/>
              <w:spacing w:before="360" w:after="0"/>
            </w:pPr>
            <w:r>
              <w:rPr>
                <w:b w:val="1"/>
                <w:bCs w:val="1"/>
              </w:rPr>
              <w:t xml:space="preserve">${_Signing_on_behalf_of_the_company:company_representative:text_}</w:t>
            </w:r>
          </w:p>
          <w:p>
            <w:pPr>
              <w:spacing w:before="400" w:after="0"/>
            </w:pPr>
            <w:r>
              <w:rPr>
                <w:color w:val="9CA3AF"/>
                <w:sz w:val="18"/>
                <w:szCs w:val="18"/>
              </w:rPr>
              <w:t xml:space="preserve">............................................</w:t>
            </w:r>
          </w:p>
          <w:p>
            <w:pPr>
              <w:spacing w:after="0"/>
            </w:pPr>
            <w:r>
              <w:rPr>
                <w:rStyle w:val="Caption"/>
              </w:rPr>
              <w:t xml:space="preserve">Signed for and on behalf of ${_Company_name:company_name:text_} (the Client)</w:t>
            </w:r>
          </w:p>
        </w:tc>
        <w:tc>
          <w:tcPr>
            <w:tcW w:w="4500" w:type="dxa"/>
            <w:vAlign w:val="bottom"/>
            <w:noWrap/>
          </w:tcPr>
          <w:p>
            <w:pPr>
              <w:jc w:val="start"/>
              <w:spacing w:before="360" w:after="0"/>
            </w:pPr>
            <w:r>
              <w:rPr>
                <w:b w:val="1"/>
                <w:bCs w:val="1"/>
              </w:rPr>
              <w:t xml:space="preserve">${_Consultant's_full_name:employee_name:text_}</w:t>
            </w:r>
          </w:p>
          <w:p>
            <w:pPr>
              <w:spacing w:before="400" w:after="0"/>
            </w:pPr>
            <w:r>
              <w:rPr>
                <w:color w:val="9CA3AF"/>
                <w:sz w:val="18"/>
                <w:szCs w:val="18"/>
              </w:rPr>
              <w:t xml:space="preserve">............................................</w:t>
            </w:r>
          </w:p>
          <w:p>
            <w:pPr>
              <w:spacing w:after="0"/>
            </w:pPr>
            <w:r>
              <w:rPr>
                <w:rStyle w:val="Caption"/>
              </w:rPr>
              <w:t xml:space="preserve">Signed by the Consultant</w:t>
            </w:r>
          </w:p>
        </w:tc>
      </w:tr>
    </w:tbl>
    <w:sectPr>
      <w:footerReference w:type="default" r:id="rId7"/>
      <w:pgSz w:orient="portrait" w:w="11905.511811023622" w:h="16837.79527559055"/>
      <w:pgMar w:top="1250" w:right="1300" w:bottom="1250" w:left="13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spacing w:after="0"/>
    </w:pPr>
    <w:r>
      <w:rPr>
        <w:color w:val="9CA3AF"/>
        <w:sz w:val="16"/>
        <w:szCs w:val="16"/>
      </w:rPr>
      <w:t xml:space="preserve">Document created in the Jober ATS - jober.uk   ·   </w:t>
    </w:r>
    <w:r>
      <w:fldChar w:fldCharType="begin"/>
    </w:r>
    <w:r>
      <w:rPr>
        <w:color w:val="9CA3AF"/>
        <w:sz w:val="16"/>
        <w:szCs w:val="16"/>
      </w:rPr>
      <w:instrText xml:space="preserve">PAGE</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GB"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Carlito" w:hAnsi="Carlito" w:eastAsia="Arial" w:cs="Carlito"/>
        <w:color w:val="000000"/>
        <w:sz w:val="21"/>
        <w:szCs w:val="21"/>
        <w:lang w:val="en-GB"/>
      </w:rPr>
    </w:rPrDefault>
    <w:pPrDefault>
      <w:pPr>
        <w:widowControl/>
      </w:pPr>
    </w:pPrDefault>
  </w:docDefaults>
  <w:style w:type="paragraph" w:default="1" w:styleId="Normal">
    <w:name w:val="Normal"/>
    <w:pPr>
      <w:spacing w:after="120" w:line="276" w:lineRule="auto"/>
    </w:pPr>
  </w:style>
  <w:style w:type="character" w:styleId="FootnoteReference">
    <w:name w:val="Footnote Reference"/>
    <w:semiHidden/>
    <w:unhideWhenUsed/>
    <w:rPr>
      <w:vertAlign w:val="superscript"/>
    </w:rPr>
  </w:style>
  <w:style w:type="paragraph" w:styleId="Heading1">
    <w:link w:val="Heading1Char"/>
    <w:name w:val="heading 1"/>
    <w:basedOn w:val="Normal"/>
    <w:pPr>
      <w:spacing w:before="120" w:after="240"/>
    </w:pPr>
    <w:rPr>
      <w:color w:val="0D1527"/>
      <w:sz w:val="40"/>
      <w:szCs w:val="40"/>
      <w:b w:val="1"/>
      <w:bCs w:val="1"/>
    </w:rPr>
  </w:style>
  <w:style w:type="paragraph" w:styleId="Heading2">
    <w:link w:val="Heading2Char"/>
    <w:name w:val="heading 2"/>
    <w:basedOn w:val="Normal"/>
    <w:pPr>
      <w:keepNext w:val="1"/>
      <w:spacing w:before="280" w:after="80"/>
    </w:pPr>
    <w:rPr>
      <w:color w:val="0D1527"/>
      <w:sz w:val="24"/>
      <w:szCs w:val="24"/>
      <w:b w:val="1"/>
      <w:bCs w:val="1"/>
    </w:rPr>
  </w:style>
  <w:style w:type="paragraph" w:customStyle="1" w:styleId="Meta">
    <w:name w:val="Meta"/>
    <w:basedOn w:val="Normal"/>
    <w:pPr>
      <w:spacing w:after="160"/>
    </w:pPr>
  </w:style>
  <w:style w:type="character">
    <w:name w:val="MetaFont"/>
    <w:rPr>
      <w:color w:val="6B7280"/>
      <w:sz w:val="19"/>
      <w:szCs w:val="19"/>
    </w:rPr>
  </w:style>
  <w:style w:type="character">
    <w:name w:val="Caption"/>
    <w:rPr>
      <w:color w:val="6B7280"/>
      <w:sz w:val="17"/>
      <w:szCs w:val="17"/>
    </w:rPr>
  </w:style>
  <w:style w:type="table" w:customStyle="1" w:styleId="DocTable">
    <w:name w:val="DocTable"/>
    <w:uiPriority w:val="99"/>
    <w:tblPr>
      <w:tblW w:w="5000" w:type="pct"/>
      <w:tblLayout w:type="autofit"/>
      <w:tblCellMar>
        <w:top w:w="90" w:type="dxa"/>
        <w:left w:w="90" w:type="dxa"/>
        <w:right w:w="90" w:type="dxa"/>
        <w:bottom w:w="90" w:type="dxa"/>
      </w:tblCellMar>
      <w:tblBorders>
        <w:top w:val="single" w:sz="6" w:color="C8CCD4"/>
        <w:left w:val="single" w:sz="6" w:color="C8CCD4"/>
        <w:right w:val="single" w:sz="6" w:color="C8CCD4"/>
        <w:bottom w:val="single" w:sz="6" w:color="C8CCD4"/>
        <w:insideH w:val="single" w:sz="6" w:color="C8CCD4"/>
        <w:insideV w:val="single" w:sz="6" w:color="C8CCD4"/>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2026-11-08T09:54:01+00:00</dcterms:created>
  <dcterms:modified xsi:type="dcterms:W3CDTF">2026-11-08T09:54:01+00:00</dcterms:modified>
</cp:coreProperties>
</file>

<file path=docProps/custom.xml><?xml version="1.0" encoding="utf-8"?>
<Properties xmlns="http://schemas.openxmlformats.org/officeDocument/2006/custom-properties" xmlns:vt="http://schemas.openxmlformats.org/officeDocument/2006/docPropsVTypes"/>
</file>